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50B25">
        <w:rPr>
          <w:rFonts w:ascii="Arial" w:hAnsi="Arial" w:cs="Arial"/>
          <w:bCs/>
          <w:color w:val="404040"/>
          <w:sz w:val="24"/>
          <w:szCs w:val="24"/>
        </w:rPr>
        <w:t>Leticia Marlene Ibáñez Castillo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50B25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CF21FC">
        <w:rPr>
          <w:rFonts w:ascii="Arial" w:hAnsi="Arial" w:cs="Arial"/>
          <w:bCs/>
          <w:color w:val="404040"/>
          <w:sz w:val="24"/>
          <w:szCs w:val="24"/>
        </w:rPr>
        <w:t xml:space="preserve"> (cursando Maestría en Derecho Penal  y Juicios Orales)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50B25">
        <w:rPr>
          <w:rStyle w:val="normaltextrun"/>
          <w:rFonts w:ascii="Arial" w:hAnsi="Arial" w:cs="Arial"/>
          <w:color w:val="000000"/>
          <w:shd w:val="clear" w:color="auto" w:fill="FFFFFF"/>
        </w:rPr>
        <w:t>3876221</w:t>
      </w:r>
      <w:r w:rsidR="00950B2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50B25">
        <w:rPr>
          <w:rFonts w:ascii="Arial" w:hAnsi="Arial" w:cs="Arial"/>
          <w:color w:val="404040"/>
          <w:sz w:val="24"/>
          <w:szCs w:val="24"/>
        </w:rPr>
        <w:t>774 758 0320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950B25">
        <w:rPr>
          <w:rFonts w:ascii="Arial" w:hAnsi="Arial" w:cs="Arial"/>
          <w:color w:val="404040"/>
          <w:sz w:val="24"/>
          <w:szCs w:val="24"/>
        </w:rPr>
        <w:t xml:space="preserve"> Directo</w:t>
      </w:r>
    </w:p>
    <w:p w:rsidR="00AB5916" w:rsidRPr="00CF21F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F21F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F21FC">
        <w:rPr>
          <w:rFonts w:ascii="Arial" w:hAnsi="Arial" w:cs="Arial"/>
          <w:bCs/>
          <w:color w:val="404040"/>
          <w:sz w:val="24"/>
          <w:szCs w:val="24"/>
        </w:rPr>
        <w:t>libanez@fiscaliaveracruz.gob.mx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F21FC">
        <w:rPr>
          <w:rFonts w:ascii="Arial" w:hAnsi="Arial" w:cs="Arial"/>
          <w:b/>
          <w:color w:val="404040"/>
          <w:sz w:val="24"/>
          <w:szCs w:val="24"/>
        </w:rPr>
        <w:t xml:space="preserve"> 1999</w:t>
      </w:r>
    </w:p>
    <w:p w:rsidR="00CF21F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CF21FC">
        <w:rPr>
          <w:rFonts w:ascii="Arial" w:hAnsi="Arial" w:cs="Arial"/>
          <w:color w:val="404040"/>
          <w:sz w:val="24"/>
          <w:szCs w:val="24"/>
        </w:rPr>
        <w:t xml:space="preserve">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F21FC"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:rsidR="00AB5916" w:rsidRDefault="00CF21F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en la Fiscalía Regional Zona Norte Tantoyuca</w:t>
      </w:r>
    </w:p>
    <w:p w:rsidR="00CF21FC" w:rsidRDefault="00CF21FC" w:rsidP="00CF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2016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a la fecha </w:t>
      </w:r>
    </w:p>
    <w:p w:rsidR="00CF21FC" w:rsidRPr="00BA21B4" w:rsidRDefault="00CF21FC" w:rsidP="00CF21FC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Primero en la Unidad Integra del Cuarto Distrito y Encargada de la Fiscalía Segunda Especializada en Responsabilidad Juvenil y Conciliador en la Unidad Integral del Cuarto Distrito en Huayacocotla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FB51AC" wp14:editId="2D791F8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CF21F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Procesal Penal, Constitucional, Derechos Humanos, Amparo. Especializada en el Sistema de Justicia penal para 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Adolescentes. Mecanismos Alternativos de Solución para Conflictos.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3F70CF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50B25"/>
    <w:rsid w:val="00A66637"/>
    <w:rsid w:val="00A95B2D"/>
    <w:rsid w:val="00AB5916"/>
    <w:rsid w:val="00B55469"/>
    <w:rsid w:val="00BA21B4"/>
    <w:rsid w:val="00BB2BF2"/>
    <w:rsid w:val="00C84E29"/>
    <w:rsid w:val="00CE7F12"/>
    <w:rsid w:val="00CF21FC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950B25"/>
  </w:style>
  <w:style w:type="character" w:customStyle="1" w:styleId="eop">
    <w:name w:val="eop"/>
    <w:basedOn w:val="Fuentedeprrafopredeter"/>
    <w:rsid w:val="00950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950B25"/>
  </w:style>
  <w:style w:type="character" w:customStyle="1" w:styleId="eop">
    <w:name w:val="eop"/>
    <w:basedOn w:val="Fuentedeprrafopredeter"/>
    <w:rsid w:val="0095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PC14</cp:lastModifiedBy>
  <cp:revision>4</cp:revision>
  <cp:lastPrinted>2019-10-08T18:25:00Z</cp:lastPrinted>
  <dcterms:created xsi:type="dcterms:W3CDTF">2019-11-05T03:06:00Z</dcterms:created>
  <dcterms:modified xsi:type="dcterms:W3CDTF">2019-11-05T03:08:00Z</dcterms:modified>
</cp:coreProperties>
</file>